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840" w:rsidRDefault="00573BD4" w:rsidP="00CA7840">
      <w:pPr>
        <w:pStyle w:val="awTB00chTitle"/>
        <w:keepNext/>
        <w:spacing w:after="0"/>
      </w:pPr>
      <w:r>
        <w:rPr>
          <w:sz w:val="44"/>
        </w:rPr>
        <w:t>Chapter 1</w:t>
      </w:r>
    </w:p>
    <w:p w:rsidR="00573BD4" w:rsidRDefault="00573BD4" w:rsidP="00CA7840">
      <w:pPr>
        <w:pStyle w:val="awTB00chTitle"/>
        <w:keepNext/>
        <w:spacing w:before="0"/>
      </w:pPr>
      <w:r>
        <w:t xml:space="preserve">Why Study Financial Markets </w:t>
      </w:r>
      <w:r>
        <w:br/>
        <w:t>and Institutions?</w:t>
      </w:r>
    </w:p>
    <w:p w:rsidR="00573BD4" w:rsidRDefault="00573BD4">
      <w:pPr>
        <w:pStyle w:val="T1List"/>
        <w:spacing w:after="60"/>
        <w:rPr>
          <w:b/>
        </w:rPr>
      </w:pPr>
      <w:r>
        <w:rPr>
          <w:b/>
        </w:rPr>
        <w:t>Why Study Financial Markets?</w:t>
      </w:r>
    </w:p>
    <w:p w:rsidR="00573BD4" w:rsidRDefault="00573BD4">
      <w:pPr>
        <w:pStyle w:val="T1List"/>
        <w:spacing w:after="60"/>
      </w:pPr>
      <w:r>
        <w:t> </w:t>
      </w:r>
      <w:r>
        <w:t> </w:t>
      </w:r>
      <w:r>
        <w:t>Debt Markets and Interest Rates</w:t>
      </w:r>
    </w:p>
    <w:p w:rsidR="00573BD4" w:rsidRDefault="00573BD4">
      <w:pPr>
        <w:pStyle w:val="T1List"/>
        <w:spacing w:after="60"/>
      </w:pPr>
      <w:r>
        <w:t> </w:t>
      </w:r>
      <w:r>
        <w:t> </w:t>
      </w:r>
      <w:r>
        <w:t>The Stock Market</w:t>
      </w:r>
    </w:p>
    <w:p w:rsidR="00573BD4" w:rsidRDefault="00573BD4">
      <w:pPr>
        <w:pStyle w:val="T1List"/>
        <w:spacing w:after="60"/>
      </w:pPr>
      <w:r>
        <w:t> </w:t>
      </w:r>
      <w:r>
        <w:t> </w:t>
      </w:r>
      <w:r>
        <w:t>The Foreign Exchange Market</w:t>
      </w:r>
    </w:p>
    <w:p w:rsidR="00573BD4" w:rsidRDefault="00573BD4">
      <w:pPr>
        <w:pStyle w:val="T1List"/>
        <w:spacing w:before="60" w:after="60"/>
        <w:rPr>
          <w:b/>
        </w:rPr>
      </w:pPr>
      <w:r>
        <w:rPr>
          <w:b/>
        </w:rPr>
        <w:t>Why Study Financial Institutions?</w:t>
      </w:r>
    </w:p>
    <w:p w:rsidR="00573BD4" w:rsidRDefault="00573BD4">
      <w:pPr>
        <w:pStyle w:val="T1List"/>
        <w:spacing w:after="60"/>
      </w:pPr>
      <w:r>
        <w:t> </w:t>
      </w:r>
      <w:r>
        <w:t> </w:t>
      </w:r>
      <w:r>
        <w:t>Structure of the Financial System</w:t>
      </w:r>
    </w:p>
    <w:p w:rsidR="00573BD4" w:rsidRDefault="00573BD4">
      <w:pPr>
        <w:pStyle w:val="T1List"/>
        <w:spacing w:after="60"/>
      </w:pPr>
      <w:r>
        <w:t> </w:t>
      </w:r>
      <w:r>
        <w:t> </w:t>
      </w:r>
      <w:r>
        <w:t>Financial Crises</w:t>
      </w:r>
    </w:p>
    <w:p w:rsidR="00573BD4" w:rsidRDefault="00573BD4">
      <w:pPr>
        <w:pStyle w:val="T1List"/>
        <w:spacing w:after="60"/>
      </w:pPr>
      <w:r>
        <w:t> </w:t>
      </w:r>
      <w:r>
        <w:t> </w:t>
      </w:r>
      <w:r>
        <w:t>Central Banks and the Conduct of Monetary Policy</w:t>
      </w:r>
    </w:p>
    <w:p w:rsidR="00573BD4" w:rsidRDefault="00573BD4">
      <w:pPr>
        <w:pStyle w:val="T1List"/>
        <w:spacing w:after="60"/>
      </w:pPr>
      <w:r>
        <w:t> </w:t>
      </w:r>
      <w:r>
        <w:t> </w:t>
      </w:r>
      <w:r>
        <w:t>The International Financial System</w:t>
      </w:r>
    </w:p>
    <w:p w:rsidR="00573BD4" w:rsidRDefault="00573BD4">
      <w:pPr>
        <w:pStyle w:val="T1List"/>
        <w:spacing w:after="60"/>
      </w:pPr>
      <w:r>
        <w:t> </w:t>
      </w:r>
      <w:r>
        <w:t> </w:t>
      </w:r>
      <w:r>
        <w:t>Banks and Other Financial Institutions</w:t>
      </w:r>
    </w:p>
    <w:p w:rsidR="00573BD4" w:rsidRDefault="00573BD4">
      <w:pPr>
        <w:pStyle w:val="T1List"/>
        <w:spacing w:after="60"/>
      </w:pPr>
      <w:r>
        <w:t> </w:t>
      </w:r>
      <w:r>
        <w:t> </w:t>
      </w:r>
      <w:r>
        <w:t>Financial Innovation</w:t>
      </w:r>
    </w:p>
    <w:p w:rsidR="00573BD4" w:rsidRDefault="00573BD4">
      <w:pPr>
        <w:pStyle w:val="T1List"/>
        <w:spacing w:after="60"/>
      </w:pPr>
      <w:r>
        <w:t> </w:t>
      </w:r>
      <w:r>
        <w:t> </w:t>
      </w:r>
      <w:r>
        <w:t>Managing Risk in Financial Institutions</w:t>
      </w:r>
    </w:p>
    <w:p w:rsidR="00573BD4" w:rsidRDefault="00573BD4">
      <w:pPr>
        <w:pStyle w:val="T1List"/>
        <w:spacing w:before="60" w:after="60"/>
        <w:rPr>
          <w:b/>
        </w:rPr>
      </w:pPr>
      <w:r>
        <w:rPr>
          <w:b/>
        </w:rPr>
        <w:t>Applied Managerial Perspective</w:t>
      </w:r>
    </w:p>
    <w:p w:rsidR="00573BD4" w:rsidRDefault="00573BD4">
      <w:pPr>
        <w:pStyle w:val="T1List"/>
        <w:tabs>
          <w:tab w:val="left" w:pos="450"/>
        </w:tabs>
        <w:spacing w:before="60" w:after="60"/>
        <w:rPr>
          <w:b/>
        </w:rPr>
      </w:pPr>
      <w:r>
        <w:rPr>
          <w:b/>
        </w:rPr>
        <w:t>How We Will Study Financial Markets and Institutions</w:t>
      </w:r>
    </w:p>
    <w:p w:rsidR="00573BD4" w:rsidRDefault="00573BD4">
      <w:pPr>
        <w:pStyle w:val="T1List"/>
        <w:spacing w:after="60"/>
      </w:pPr>
      <w:r>
        <w:t> </w:t>
      </w:r>
      <w:r>
        <w:t> </w:t>
      </w:r>
      <w:r>
        <w:t>Exploring the Web</w:t>
      </w:r>
    </w:p>
    <w:p w:rsidR="00573BD4" w:rsidRDefault="00573BD4">
      <w:pPr>
        <w:pStyle w:val="T1List"/>
        <w:spacing w:after="60"/>
      </w:pPr>
      <w:r>
        <w:t> </w:t>
      </w:r>
      <w:r>
        <w:t> </w:t>
      </w:r>
      <w:r>
        <w:t>Collecting and Graphing Data</w:t>
      </w:r>
    </w:p>
    <w:p w:rsidR="00573BD4" w:rsidRDefault="00573BD4">
      <w:pPr>
        <w:pStyle w:val="T1List"/>
        <w:spacing w:after="60"/>
      </w:pPr>
      <w:r>
        <w:rPr>
          <w:b/>
        </w:rPr>
        <w:t>Web Exercise</w:t>
      </w:r>
    </w:p>
    <w:p w:rsidR="00573BD4" w:rsidRDefault="00573BD4">
      <w:pPr>
        <w:pStyle w:val="T1List"/>
        <w:spacing w:before="60" w:after="60"/>
        <w:rPr>
          <w:b/>
        </w:rPr>
      </w:pPr>
      <w:r>
        <w:rPr>
          <w:b/>
        </w:rPr>
        <w:t>Concluding Remarks</w:t>
      </w:r>
    </w:p>
    <w:p w:rsidR="00573BD4" w:rsidRDefault="00573BD4">
      <w:pPr>
        <w:pStyle w:val="awTB01questionHead"/>
        <w:spacing w:before="300"/>
      </w:pPr>
      <w:r>
        <w:sym w:font="Wingdings" w:char="F06E"/>
      </w:r>
      <w:r>
        <w:t> </w:t>
      </w:r>
      <w:r>
        <w:t>Overview and Teaching Tips</w:t>
      </w:r>
    </w:p>
    <w:p w:rsidR="00573BD4" w:rsidRDefault="00573BD4">
      <w:pPr>
        <w:pStyle w:val="T1"/>
      </w:pPr>
      <w:r>
        <w:t xml:space="preserve">Before embarking on a study of financial markets and institutions, the student must be convinced that this subject is worth studying. Chapter 1 pursues this goal by showing the student that financial markets and institutions is an exciting field because it focuses on phenomena that affect everyday life. An additional purpose of Chapter 1 is to provide an overview for the entire book, previewing the topics that will be </w:t>
      </w:r>
      <w:r>
        <w:rPr>
          <w:spacing w:val="-2"/>
        </w:rPr>
        <w:t>covered in later chapters. The chapter also provides the students with a guide as to how they will be studying</w:t>
      </w:r>
      <w:r>
        <w:t xml:space="preserve"> </w:t>
      </w:r>
      <w:r>
        <w:rPr>
          <w:spacing w:val="-2"/>
        </w:rPr>
        <w:t>financial markets and institutions with a unifying, analytic framework and an applied managerial perspective.</w:t>
      </w:r>
    </w:p>
    <w:p w:rsidR="00573BD4" w:rsidRDefault="00573BD4">
      <w:pPr>
        <w:pStyle w:val="T2"/>
        <w:spacing w:before="160"/>
        <w:rPr>
          <w:spacing w:val="-3"/>
        </w:rPr>
      </w:pPr>
      <w:r>
        <w:rPr>
          <w:spacing w:val="-3"/>
        </w:rPr>
        <w:t>In teaching this chapter, the most important goal should be to get the student excited about the material. I have found that talking about the data presented in the figures helps achieve this goal by showing the students that the subject matter of financial markets and institutions has real-world implications that they should care about. In addition, it is important to emphasize to the students that the course will have an applied managerial perspective, which they will find useful latter in their careers. Going through the web exercise is also a way of encouraging the students to use the web to further their understanding of financial markets and institutions.</w:t>
      </w:r>
    </w:p>
    <w:p w:rsidR="00573BD4" w:rsidRDefault="00573BD4" w:rsidP="00642831">
      <w:pPr>
        <w:pStyle w:val="awTB01questionHead"/>
      </w:pPr>
      <w:r>
        <w:sym w:font="Wingdings" w:char="F06E"/>
      </w:r>
      <w:r>
        <w:t> </w:t>
      </w:r>
      <w:r>
        <w:t>Answers to End-of-Chapter Questions</w:t>
      </w:r>
    </w:p>
    <w:p w:rsidR="00573BD4" w:rsidRDefault="00573BD4">
      <w:pPr>
        <w:pStyle w:val="MCQList1"/>
        <w:tabs>
          <w:tab w:val="left" w:pos="101"/>
        </w:tabs>
        <w:spacing w:before="0"/>
        <w:ind w:left="446" w:hanging="446"/>
      </w:pPr>
      <w:r>
        <w:tab/>
        <w:t>1.</w:t>
      </w:r>
      <w:r>
        <w:tab/>
        <w:t>Because they channel funds from those who do not have a productive use for them to those who do, thereby resulting in higher economic efficiency.</w:t>
      </w:r>
    </w:p>
    <w:p w:rsidR="00573BD4" w:rsidRDefault="00573BD4">
      <w:pPr>
        <w:pStyle w:val="MCQList1"/>
        <w:tabs>
          <w:tab w:val="left" w:pos="101"/>
        </w:tabs>
      </w:pPr>
      <w:r>
        <w:tab/>
        <w:t>2.</w:t>
      </w:r>
      <w:r>
        <w:tab/>
        <w:t>Businesses would cut investment spending because the cost of financing this spending is now higher, and consumers would be less likely to purchase a house or a car because the cost of financing their purchase is higher.</w:t>
      </w:r>
    </w:p>
    <w:p w:rsidR="00573BD4" w:rsidRDefault="00573BD4">
      <w:pPr>
        <w:pStyle w:val="MCQList1"/>
        <w:tabs>
          <w:tab w:val="left" w:pos="101"/>
        </w:tabs>
      </w:pPr>
      <w:r>
        <w:tab/>
        <w:t>3.</w:t>
      </w:r>
      <w:r>
        <w:tab/>
        <w:t>A change in interest rates affects the cost of acquiring funds for financial institution as well as changes the income on assets such as loans, both of which affect profits. In addition, changes in interest rates affect the price of assets such as stock and bonds that the financial institution owns which can lead to profits or losses.</w:t>
      </w:r>
    </w:p>
    <w:p w:rsidR="00573BD4" w:rsidRDefault="00573BD4">
      <w:pPr>
        <w:pStyle w:val="MCQList1"/>
        <w:tabs>
          <w:tab w:val="left" w:pos="101"/>
        </w:tabs>
        <w:rPr>
          <w:spacing w:val="-4"/>
        </w:rPr>
      </w:pPr>
      <w:r>
        <w:rPr>
          <w:spacing w:val="-4"/>
        </w:rPr>
        <w:tab/>
        <w:t>4.</w:t>
      </w:r>
      <w:r>
        <w:rPr>
          <w:spacing w:val="-4"/>
        </w:rPr>
        <w:tab/>
        <w:t>No. People who borrow to purchase a house or a car are worse off because it costs them more to finance their purchase; however, savers benefit because they can earn higher interest rates on their savings.</w:t>
      </w:r>
    </w:p>
    <w:p w:rsidR="00573BD4" w:rsidRDefault="00573BD4">
      <w:pPr>
        <w:pStyle w:val="MCQList1"/>
        <w:tabs>
          <w:tab w:val="left" w:pos="101"/>
        </w:tabs>
      </w:pPr>
      <w:r>
        <w:tab/>
        <w:t>5.</w:t>
      </w:r>
      <w:r>
        <w:tab/>
      </w:r>
      <w:r>
        <w:rPr>
          <w:spacing w:val="-2"/>
        </w:rPr>
        <w:t>The lower price for a firm’s shares means that it can raise a smaller amount of funds, and so investment</w:t>
      </w:r>
      <w:r>
        <w:t xml:space="preserve"> in plant and equipment will fall.</w:t>
      </w:r>
    </w:p>
    <w:p w:rsidR="00573BD4" w:rsidRDefault="00573BD4">
      <w:pPr>
        <w:pStyle w:val="MCQList1"/>
        <w:tabs>
          <w:tab w:val="left" w:pos="101"/>
        </w:tabs>
      </w:pPr>
      <w:r>
        <w:tab/>
        <w:t>6.</w:t>
      </w:r>
      <w:r>
        <w:tab/>
        <w:t>Higher stock prices mean that consumers’ wealth is higher and so they will be more likely to increase their spending.</w:t>
      </w:r>
    </w:p>
    <w:p w:rsidR="00573BD4" w:rsidRDefault="00573BD4">
      <w:pPr>
        <w:pStyle w:val="MCQList1"/>
        <w:tabs>
          <w:tab w:val="left" w:pos="101"/>
        </w:tabs>
      </w:pPr>
      <w:r>
        <w:tab/>
        <w:t>7.</w:t>
      </w:r>
      <w:r>
        <w:tab/>
        <w:t>It makes foreign goods more expensive and so British consumers will buy less foreign goods and more domestic goods.</w:t>
      </w:r>
    </w:p>
    <w:p w:rsidR="00573BD4" w:rsidRDefault="00573BD4">
      <w:pPr>
        <w:pStyle w:val="MCQList1"/>
        <w:tabs>
          <w:tab w:val="left" w:pos="101"/>
        </w:tabs>
      </w:pPr>
      <w:r>
        <w:tab/>
        <w:t>8.</w:t>
      </w:r>
      <w:r>
        <w:tab/>
        <w:t>It makes British goods more expensive relative to American goods. American businesses will find it easier to sell their goods in the United States and abroad, and the demand for their products will rise.</w:t>
      </w:r>
    </w:p>
    <w:p w:rsidR="00573BD4" w:rsidRDefault="00573BD4">
      <w:pPr>
        <w:pStyle w:val="MCQList1"/>
        <w:tabs>
          <w:tab w:val="left" w:pos="101"/>
        </w:tabs>
      </w:pPr>
      <w:r>
        <w:tab/>
        <w:t>9.</w:t>
      </w:r>
      <w:r>
        <w:tab/>
        <w:t>Changes in foreign exchange rates change the value of assets held by financial institutions and thus lead to gains and losses on these assets. Also changes in foreign exchange rates affect the profits made by traders in foreign exchange who work for financial institutions.</w:t>
      </w:r>
    </w:p>
    <w:p w:rsidR="00573BD4" w:rsidRDefault="00573BD4">
      <w:pPr>
        <w:pStyle w:val="MCQList1"/>
        <w:tabs>
          <w:tab w:val="left" w:pos="101"/>
        </w:tabs>
      </w:pPr>
      <w:r>
        <w:t>10.</w:t>
      </w:r>
      <w:r>
        <w:tab/>
        <w:t>In the mid to late 1970s and the late 1980s and early 1990s, the value of the dollar was low, making travel abroad relatively more expensive; that would have been a good time to vacation in the United States and see the Grand Canyon. As the dollar’s value rose in the early 1980s, travel abroad became relatively cheaper, making it a good time to visit the Tower of London.</w:t>
      </w:r>
    </w:p>
    <w:p w:rsidR="00573BD4" w:rsidRDefault="00573BD4">
      <w:pPr>
        <w:pStyle w:val="MCQList1"/>
      </w:pPr>
      <w:r>
        <w:t>11.</w:t>
      </w:r>
      <w:r>
        <w:tab/>
        <w:t>Banks accept deposits and then use the resulting funds to make loans.</w:t>
      </w:r>
    </w:p>
    <w:p w:rsidR="00573BD4" w:rsidRDefault="00573BD4">
      <w:pPr>
        <w:pStyle w:val="MCQList1"/>
      </w:pPr>
      <w:r>
        <w:t>12.</w:t>
      </w:r>
      <w:r>
        <w:tab/>
        <w:t>Savings and loan associations, mutual savings banks, credit unions, insurance companies, mutual funds, pension funds, and finance companies.</w:t>
      </w:r>
    </w:p>
    <w:p w:rsidR="00573BD4" w:rsidRDefault="00573BD4">
      <w:pPr>
        <w:pStyle w:val="MCQList1"/>
      </w:pPr>
      <w:r>
        <w:t>13.</w:t>
      </w:r>
      <w:r>
        <w:tab/>
        <w:t>Answers will vary.</w:t>
      </w:r>
    </w:p>
    <w:p w:rsidR="00573BD4" w:rsidRDefault="00573BD4">
      <w:pPr>
        <w:pStyle w:val="MCQList1"/>
      </w:pPr>
      <w:r>
        <w:t>14.</w:t>
      </w:r>
      <w:r>
        <w:tab/>
        <w:t>The profitability of financial institutions is affected by changes in interest rates, stock prices, and foreign exchange rates; fluctuations in these variables expose these institutions to risk.</w:t>
      </w:r>
    </w:p>
    <w:p w:rsidR="00573BD4" w:rsidRDefault="00573BD4">
      <w:pPr>
        <w:pStyle w:val="MCQList1"/>
      </w:pPr>
      <w:r>
        <w:t>15.</w:t>
      </w:r>
      <w:r>
        <w:tab/>
        <w:t xml:space="preserve">Because the Federal Reserve affects interest rates, inflation, and business cycles, all of which have </w:t>
      </w:r>
      <w:r>
        <w:br/>
        <w:t>an important impact on the profitability of financial institutions.</w:t>
      </w:r>
    </w:p>
    <w:p w:rsidR="00573BD4" w:rsidRDefault="00573BD4" w:rsidP="0068569E">
      <w:pPr>
        <w:pStyle w:val="awTB01questionHead"/>
      </w:pPr>
      <w:r>
        <w:sym w:font="Wingdings" w:char="F06E"/>
      </w:r>
      <w:r>
        <w:t> </w:t>
      </w:r>
      <w:r>
        <w:t>Quantitative Problems</w:t>
      </w:r>
    </w:p>
    <w:p w:rsidR="00573BD4" w:rsidRDefault="00573BD4">
      <w:pPr>
        <w:pStyle w:val="MCQList1"/>
        <w:spacing w:before="0" w:after="200"/>
        <w:ind w:left="446" w:hanging="446"/>
      </w:pPr>
      <w:r>
        <w:t>1.</w:t>
      </w:r>
      <w:r>
        <w:tab/>
      </w:r>
      <w:r>
        <w:rPr>
          <w:spacing w:val="-2"/>
        </w:rPr>
        <w:t xml:space="preserve">The following table lists foreign exchange rates between U.S. dollars and British pounds during </w:t>
      </w:r>
      <w:r>
        <w:t>April:</w:t>
      </w:r>
    </w:p>
    <w:tbl>
      <w:tblPr>
        <w:tblW w:w="0" w:type="auto"/>
        <w:tblInd w:w="485" w:type="dxa"/>
        <w:tblBorders>
          <w:top w:val="single" w:sz="4" w:space="0" w:color="auto"/>
          <w:bottom w:val="single" w:sz="4" w:space="0" w:color="auto"/>
        </w:tblBorders>
        <w:tblLook w:val="0000" w:firstRow="0" w:lastRow="0" w:firstColumn="0" w:lastColumn="0" w:noHBand="0" w:noVBand="0"/>
      </w:tblPr>
      <w:tblGrid>
        <w:gridCol w:w="1065"/>
        <w:gridCol w:w="2049"/>
        <w:gridCol w:w="1503"/>
        <w:gridCol w:w="2133"/>
      </w:tblGrid>
      <w:tr w:rsidR="00573BD4">
        <w:tblPrEx>
          <w:tblCellMar>
            <w:top w:w="0" w:type="dxa"/>
            <w:bottom w:w="0" w:type="dxa"/>
          </w:tblCellMar>
        </w:tblPrEx>
        <w:tc>
          <w:tcPr>
            <w:tcW w:w="1065" w:type="dxa"/>
            <w:tcBorders>
              <w:top w:val="single" w:sz="4" w:space="0" w:color="auto"/>
              <w:bottom w:val="single" w:sz="4" w:space="0" w:color="auto"/>
            </w:tcBorders>
            <w:tcMar>
              <w:left w:w="0" w:type="dxa"/>
              <w:right w:w="115" w:type="dxa"/>
            </w:tcMar>
          </w:tcPr>
          <w:p w:rsidR="00573BD4" w:rsidRDefault="00573BD4">
            <w:pPr>
              <w:pStyle w:val="T1"/>
              <w:spacing w:before="60" w:after="60"/>
              <w:rPr>
                <w:b/>
              </w:rPr>
            </w:pPr>
            <w:r>
              <w:rPr>
                <w:b/>
              </w:rPr>
              <w:t>Date</w:t>
            </w:r>
          </w:p>
        </w:tc>
        <w:tc>
          <w:tcPr>
            <w:tcW w:w="2049" w:type="dxa"/>
            <w:tcBorders>
              <w:top w:val="single" w:sz="4" w:space="0" w:color="auto"/>
              <w:bottom w:val="single" w:sz="4" w:space="0" w:color="auto"/>
            </w:tcBorders>
            <w:tcMar>
              <w:left w:w="0" w:type="dxa"/>
              <w:right w:w="115" w:type="dxa"/>
            </w:tcMar>
          </w:tcPr>
          <w:p w:rsidR="00573BD4" w:rsidRDefault="00573BD4">
            <w:pPr>
              <w:pStyle w:val="T1"/>
              <w:spacing w:before="60" w:after="60"/>
              <w:ind w:left="-2" w:right="-113"/>
              <w:jc w:val="center"/>
              <w:rPr>
                <w:b/>
              </w:rPr>
            </w:pPr>
            <w:r>
              <w:rPr>
                <w:b/>
              </w:rPr>
              <w:t>U.S. Dollars per GBP</w:t>
            </w:r>
          </w:p>
        </w:tc>
        <w:tc>
          <w:tcPr>
            <w:tcW w:w="1503" w:type="dxa"/>
            <w:tcBorders>
              <w:top w:val="single" w:sz="4" w:space="0" w:color="auto"/>
              <w:bottom w:val="single" w:sz="4" w:space="0" w:color="auto"/>
            </w:tcBorders>
          </w:tcPr>
          <w:p w:rsidR="00573BD4" w:rsidRDefault="00573BD4">
            <w:pPr>
              <w:pStyle w:val="T1"/>
              <w:spacing w:before="60" w:after="60"/>
              <w:ind w:left="-110" w:right="-108"/>
              <w:jc w:val="center"/>
              <w:rPr>
                <w:b/>
              </w:rPr>
            </w:pPr>
            <w:r>
              <w:rPr>
                <w:b/>
              </w:rPr>
              <w:t>Date</w:t>
            </w:r>
          </w:p>
        </w:tc>
        <w:tc>
          <w:tcPr>
            <w:tcW w:w="2133" w:type="dxa"/>
            <w:tcBorders>
              <w:top w:val="single" w:sz="4" w:space="0" w:color="auto"/>
              <w:bottom w:val="single" w:sz="4" w:space="0" w:color="auto"/>
            </w:tcBorders>
          </w:tcPr>
          <w:p w:rsidR="00573BD4" w:rsidRDefault="00573BD4">
            <w:pPr>
              <w:pStyle w:val="T1"/>
              <w:spacing w:before="60" w:after="60"/>
              <w:ind w:left="18" w:right="-113"/>
              <w:jc w:val="center"/>
              <w:rPr>
                <w:b/>
              </w:rPr>
            </w:pPr>
            <w:r>
              <w:rPr>
                <w:b/>
              </w:rPr>
              <w:t>U.S. Dollars per GBP</w:t>
            </w:r>
          </w:p>
        </w:tc>
      </w:tr>
      <w:tr w:rsidR="00573BD4">
        <w:tblPrEx>
          <w:tblCellMar>
            <w:top w:w="0" w:type="dxa"/>
            <w:bottom w:w="0" w:type="dxa"/>
          </w:tblCellMar>
        </w:tblPrEx>
        <w:tc>
          <w:tcPr>
            <w:tcW w:w="1065" w:type="dxa"/>
            <w:tcBorders>
              <w:top w:val="single" w:sz="4" w:space="0" w:color="auto"/>
            </w:tcBorders>
            <w:tcMar>
              <w:left w:w="0" w:type="dxa"/>
              <w:right w:w="115" w:type="dxa"/>
            </w:tcMar>
          </w:tcPr>
          <w:p w:rsidR="00573BD4" w:rsidRDefault="00573BD4">
            <w:pPr>
              <w:pStyle w:val="T1"/>
              <w:spacing w:before="60"/>
              <w:ind w:left="3" w:right="-115"/>
            </w:pPr>
            <w:r>
              <w:t>4/1</w:t>
            </w:r>
          </w:p>
        </w:tc>
        <w:tc>
          <w:tcPr>
            <w:tcW w:w="2049" w:type="dxa"/>
            <w:tcBorders>
              <w:top w:val="single" w:sz="4" w:space="0" w:color="auto"/>
            </w:tcBorders>
            <w:tcMar>
              <w:left w:w="0" w:type="dxa"/>
              <w:right w:w="115" w:type="dxa"/>
            </w:tcMar>
          </w:tcPr>
          <w:p w:rsidR="00573BD4" w:rsidRDefault="00573BD4">
            <w:pPr>
              <w:pStyle w:val="T1"/>
              <w:spacing w:before="60"/>
              <w:ind w:left="645" w:right="-115"/>
            </w:pPr>
            <w:r>
              <w:t>1.9564</w:t>
            </w:r>
          </w:p>
        </w:tc>
        <w:tc>
          <w:tcPr>
            <w:tcW w:w="1503" w:type="dxa"/>
            <w:tcBorders>
              <w:top w:val="single" w:sz="4" w:space="0" w:color="auto"/>
            </w:tcBorders>
          </w:tcPr>
          <w:p w:rsidR="00573BD4" w:rsidRDefault="00573BD4">
            <w:pPr>
              <w:pStyle w:val="T1"/>
              <w:spacing w:before="60"/>
              <w:ind w:left="-108" w:right="-115"/>
              <w:jc w:val="center"/>
            </w:pPr>
            <w:r>
              <w:t>4/18</w:t>
            </w:r>
          </w:p>
        </w:tc>
        <w:tc>
          <w:tcPr>
            <w:tcW w:w="2133" w:type="dxa"/>
            <w:tcBorders>
              <w:top w:val="single" w:sz="4" w:space="0" w:color="auto"/>
            </w:tcBorders>
          </w:tcPr>
          <w:p w:rsidR="00573BD4" w:rsidRDefault="00573BD4" w:rsidP="00132810">
            <w:pPr>
              <w:pStyle w:val="T1"/>
              <w:spacing w:before="60"/>
              <w:ind w:left="640" w:right="-85"/>
            </w:pPr>
            <w:r>
              <w:t>1.7504</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4/4</w:t>
            </w:r>
          </w:p>
        </w:tc>
        <w:tc>
          <w:tcPr>
            <w:tcW w:w="2049" w:type="dxa"/>
            <w:tcMar>
              <w:left w:w="0" w:type="dxa"/>
              <w:right w:w="115" w:type="dxa"/>
            </w:tcMar>
          </w:tcPr>
          <w:p w:rsidR="00573BD4" w:rsidRDefault="00573BD4">
            <w:pPr>
              <w:pStyle w:val="T1"/>
              <w:spacing w:before="40"/>
              <w:ind w:left="645" w:right="-113"/>
            </w:pPr>
            <w:r>
              <w:t>1.9293</w:t>
            </w:r>
          </w:p>
        </w:tc>
        <w:tc>
          <w:tcPr>
            <w:tcW w:w="1503" w:type="dxa"/>
          </w:tcPr>
          <w:p w:rsidR="00573BD4" w:rsidRDefault="00573BD4">
            <w:pPr>
              <w:pStyle w:val="T1"/>
              <w:spacing w:before="40"/>
              <w:ind w:left="-108" w:right="-113"/>
              <w:jc w:val="center"/>
            </w:pPr>
            <w:r>
              <w:t>4/19</w:t>
            </w:r>
          </w:p>
        </w:tc>
        <w:tc>
          <w:tcPr>
            <w:tcW w:w="2133" w:type="dxa"/>
          </w:tcPr>
          <w:p w:rsidR="00573BD4" w:rsidRDefault="00573BD4" w:rsidP="00132810">
            <w:pPr>
              <w:pStyle w:val="T1"/>
              <w:spacing w:before="40"/>
              <w:ind w:left="640" w:right="-85"/>
            </w:pPr>
            <w:r>
              <w:t>1.7255</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4/5</w:t>
            </w:r>
          </w:p>
        </w:tc>
        <w:tc>
          <w:tcPr>
            <w:tcW w:w="2049" w:type="dxa"/>
            <w:tcMar>
              <w:left w:w="0" w:type="dxa"/>
              <w:right w:w="115" w:type="dxa"/>
            </w:tcMar>
          </w:tcPr>
          <w:p w:rsidR="00573BD4" w:rsidRDefault="00573BD4">
            <w:pPr>
              <w:pStyle w:val="T1"/>
              <w:spacing w:before="40"/>
              <w:ind w:left="645" w:right="-113"/>
            </w:pPr>
            <w:r>
              <w:t>1.914</w:t>
            </w:r>
          </w:p>
        </w:tc>
        <w:tc>
          <w:tcPr>
            <w:tcW w:w="1503" w:type="dxa"/>
          </w:tcPr>
          <w:p w:rsidR="00573BD4" w:rsidRDefault="00573BD4">
            <w:pPr>
              <w:pStyle w:val="T1"/>
              <w:spacing w:before="40"/>
              <w:ind w:left="-108" w:right="-113"/>
              <w:jc w:val="center"/>
            </w:pPr>
            <w:r>
              <w:t>4/20</w:t>
            </w:r>
          </w:p>
        </w:tc>
        <w:tc>
          <w:tcPr>
            <w:tcW w:w="2133" w:type="dxa"/>
          </w:tcPr>
          <w:p w:rsidR="00573BD4" w:rsidRDefault="00573BD4" w:rsidP="00132810">
            <w:pPr>
              <w:pStyle w:val="T1"/>
              <w:spacing w:before="40"/>
              <w:ind w:left="640" w:right="-85"/>
            </w:pPr>
            <w:r>
              <w:t>1.6914</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4/6</w:t>
            </w:r>
          </w:p>
        </w:tc>
        <w:tc>
          <w:tcPr>
            <w:tcW w:w="2049" w:type="dxa"/>
            <w:tcMar>
              <w:left w:w="0" w:type="dxa"/>
              <w:right w:w="115" w:type="dxa"/>
            </w:tcMar>
          </w:tcPr>
          <w:p w:rsidR="00573BD4" w:rsidRDefault="00573BD4">
            <w:pPr>
              <w:pStyle w:val="T1"/>
              <w:spacing w:before="40"/>
              <w:ind w:left="645" w:right="-113"/>
            </w:pPr>
            <w:r>
              <w:t>1.9374</w:t>
            </w:r>
          </w:p>
        </w:tc>
        <w:tc>
          <w:tcPr>
            <w:tcW w:w="1503" w:type="dxa"/>
          </w:tcPr>
          <w:p w:rsidR="00573BD4" w:rsidRDefault="00573BD4">
            <w:pPr>
              <w:pStyle w:val="T1"/>
              <w:spacing w:before="40"/>
              <w:ind w:left="-108" w:right="-113"/>
              <w:jc w:val="center"/>
            </w:pPr>
            <w:r>
              <w:t>4/21</w:t>
            </w:r>
          </w:p>
        </w:tc>
        <w:tc>
          <w:tcPr>
            <w:tcW w:w="2133" w:type="dxa"/>
          </w:tcPr>
          <w:p w:rsidR="00573BD4" w:rsidRDefault="00573BD4" w:rsidP="00132810">
            <w:pPr>
              <w:pStyle w:val="T1"/>
              <w:spacing w:before="40"/>
              <w:ind w:left="640" w:right="-85"/>
            </w:pPr>
            <w:r>
              <w:t>1.672</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4/7</w:t>
            </w:r>
          </w:p>
        </w:tc>
        <w:tc>
          <w:tcPr>
            <w:tcW w:w="2049" w:type="dxa"/>
            <w:tcMar>
              <w:left w:w="0" w:type="dxa"/>
              <w:right w:w="115" w:type="dxa"/>
            </w:tcMar>
          </w:tcPr>
          <w:p w:rsidR="00573BD4" w:rsidRDefault="00573BD4">
            <w:pPr>
              <w:pStyle w:val="T1"/>
              <w:spacing w:before="40"/>
              <w:ind w:left="645" w:right="-113"/>
            </w:pPr>
            <w:r>
              <w:t>1.961</w:t>
            </w:r>
          </w:p>
        </w:tc>
        <w:tc>
          <w:tcPr>
            <w:tcW w:w="1503" w:type="dxa"/>
          </w:tcPr>
          <w:p w:rsidR="00573BD4" w:rsidRDefault="00573BD4">
            <w:pPr>
              <w:pStyle w:val="T1"/>
              <w:spacing w:before="40"/>
              <w:ind w:left="-108" w:right="-113"/>
              <w:jc w:val="center"/>
            </w:pPr>
            <w:r>
              <w:t>4/22</w:t>
            </w:r>
          </w:p>
        </w:tc>
        <w:tc>
          <w:tcPr>
            <w:tcW w:w="2133" w:type="dxa"/>
          </w:tcPr>
          <w:p w:rsidR="00573BD4" w:rsidRDefault="00573BD4" w:rsidP="00132810">
            <w:pPr>
              <w:pStyle w:val="T1"/>
              <w:spacing w:before="40"/>
              <w:ind w:left="640" w:right="-85"/>
            </w:pPr>
            <w:r>
              <w:t>1.6684</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4/8</w:t>
            </w:r>
          </w:p>
        </w:tc>
        <w:tc>
          <w:tcPr>
            <w:tcW w:w="2049" w:type="dxa"/>
            <w:tcMar>
              <w:left w:w="0" w:type="dxa"/>
              <w:right w:w="115" w:type="dxa"/>
            </w:tcMar>
          </w:tcPr>
          <w:p w:rsidR="00573BD4" w:rsidRDefault="00573BD4">
            <w:pPr>
              <w:pStyle w:val="T1"/>
              <w:spacing w:before="40"/>
              <w:ind w:left="645" w:right="-113"/>
            </w:pPr>
            <w:r>
              <w:t>1.8925</w:t>
            </w:r>
          </w:p>
        </w:tc>
        <w:tc>
          <w:tcPr>
            <w:tcW w:w="1503" w:type="dxa"/>
          </w:tcPr>
          <w:p w:rsidR="00573BD4" w:rsidRDefault="00573BD4">
            <w:pPr>
              <w:pStyle w:val="T1"/>
              <w:spacing w:before="40"/>
              <w:ind w:left="-108" w:right="-113"/>
              <w:jc w:val="center"/>
            </w:pPr>
            <w:r>
              <w:t>4/25</w:t>
            </w:r>
          </w:p>
        </w:tc>
        <w:tc>
          <w:tcPr>
            <w:tcW w:w="2133" w:type="dxa"/>
          </w:tcPr>
          <w:p w:rsidR="00573BD4" w:rsidRDefault="00573BD4" w:rsidP="00132810">
            <w:pPr>
              <w:pStyle w:val="T1"/>
              <w:spacing w:before="40"/>
              <w:ind w:left="640" w:right="-85"/>
            </w:pPr>
            <w:r>
              <w:t>1.6674</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4/11</w:t>
            </w:r>
          </w:p>
        </w:tc>
        <w:tc>
          <w:tcPr>
            <w:tcW w:w="2049" w:type="dxa"/>
            <w:tcMar>
              <w:left w:w="0" w:type="dxa"/>
              <w:right w:w="115" w:type="dxa"/>
            </w:tcMar>
          </w:tcPr>
          <w:p w:rsidR="00573BD4" w:rsidRDefault="00573BD4">
            <w:pPr>
              <w:pStyle w:val="T1"/>
              <w:spacing w:before="40"/>
              <w:ind w:left="645" w:right="-113"/>
            </w:pPr>
            <w:r>
              <w:t>1.8822</w:t>
            </w:r>
          </w:p>
        </w:tc>
        <w:tc>
          <w:tcPr>
            <w:tcW w:w="1503" w:type="dxa"/>
          </w:tcPr>
          <w:p w:rsidR="00573BD4" w:rsidRDefault="00573BD4">
            <w:pPr>
              <w:pStyle w:val="T1"/>
              <w:spacing w:before="40"/>
              <w:ind w:left="-108" w:right="-113"/>
              <w:jc w:val="center"/>
            </w:pPr>
            <w:r>
              <w:t>4/26</w:t>
            </w:r>
          </w:p>
        </w:tc>
        <w:tc>
          <w:tcPr>
            <w:tcW w:w="2133" w:type="dxa"/>
          </w:tcPr>
          <w:p w:rsidR="00573BD4" w:rsidRDefault="00573BD4" w:rsidP="00132810">
            <w:pPr>
              <w:pStyle w:val="T1"/>
              <w:spacing w:before="40"/>
              <w:ind w:left="640" w:right="-85"/>
            </w:pPr>
            <w:r>
              <w:t>1.6857</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4/12</w:t>
            </w:r>
          </w:p>
        </w:tc>
        <w:tc>
          <w:tcPr>
            <w:tcW w:w="2049" w:type="dxa"/>
            <w:tcMar>
              <w:left w:w="0" w:type="dxa"/>
              <w:right w:w="115" w:type="dxa"/>
            </w:tcMar>
          </w:tcPr>
          <w:p w:rsidR="00573BD4" w:rsidRDefault="00573BD4">
            <w:pPr>
              <w:pStyle w:val="T1"/>
              <w:spacing w:before="40"/>
              <w:ind w:left="645" w:right="-113"/>
            </w:pPr>
            <w:r>
              <w:t>1.8558</w:t>
            </w:r>
          </w:p>
        </w:tc>
        <w:tc>
          <w:tcPr>
            <w:tcW w:w="1503" w:type="dxa"/>
          </w:tcPr>
          <w:p w:rsidR="00573BD4" w:rsidRDefault="00573BD4">
            <w:pPr>
              <w:pStyle w:val="T1"/>
              <w:spacing w:before="40"/>
              <w:ind w:left="-108" w:right="-113"/>
              <w:jc w:val="center"/>
            </w:pPr>
            <w:r>
              <w:t>4/27</w:t>
            </w:r>
          </w:p>
        </w:tc>
        <w:tc>
          <w:tcPr>
            <w:tcW w:w="2133" w:type="dxa"/>
          </w:tcPr>
          <w:p w:rsidR="00573BD4" w:rsidRDefault="00573BD4" w:rsidP="00132810">
            <w:pPr>
              <w:pStyle w:val="T1"/>
              <w:spacing w:before="40"/>
              <w:ind w:left="640" w:right="-85"/>
            </w:pPr>
            <w:r>
              <w:t>1.6925</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4/13</w:t>
            </w:r>
          </w:p>
        </w:tc>
        <w:tc>
          <w:tcPr>
            <w:tcW w:w="2049" w:type="dxa"/>
            <w:tcMar>
              <w:left w:w="0" w:type="dxa"/>
              <w:right w:w="115" w:type="dxa"/>
            </w:tcMar>
          </w:tcPr>
          <w:p w:rsidR="00573BD4" w:rsidRDefault="00573BD4">
            <w:pPr>
              <w:pStyle w:val="T1"/>
              <w:spacing w:before="40"/>
              <w:ind w:left="645" w:right="-113"/>
            </w:pPr>
            <w:r>
              <w:t>1.796</w:t>
            </w:r>
          </w:p>
        </w:tc>
        <w:tc>
          <w:tcPr>
            <w:tcW w:w="1503" w:type="dxa"/>
          </w:tcPr>
          <w:p w:rsidR="00573BD4" w:rsidRDefault="00573BD4">
            <w:pPr>
              <w:pStyle w:val="T1"/>
              <w:spacing w:before="40"/>
              <w:ind w:left="-108" w:right="-113"/>
              <w:jc w:val="center"/>
            </w:pPr>
            <w:r>
              <w:t>4/28</w:t>
            </w:r>
          </w:p>
        </w:tc>
        <w:tc>
          <w:tcPr>
            <w:tcW w:w="2133" w:type="dxa"/>
          </w:tcPr>
          <w:p w:rsidR="00573BD4" w:rsidRDefault="00573BD4" w:rsidP="00132810">
            <w:pPr>
              <w:pStyle w:val="T1"/>
              <w:spacing w:before="40"/>
              <w:ind w:left="640" w:right="-85"/>
            </w:pPr>
            <w:r>
              <w:t>1.7201</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ind w:left="3" w:right="-113"/>
            </w:pPr>
            <w:r>
              <w:t>4/14</w:t>
            </w:r>
          </w:p>
        </w:tc>
        <w:tc>
          <w:tcPr>
            <w:tcW w:w="2049" w:type="dxa"/>
            <w:tcMar>
              <w:left w:w="0" w:type="dxa"/>
              <w:right w:w="115" w:type="dxa"/>
            </w:tcMar>
          </w:tcPr>
          <w:p w:rsidR="00573BD4" w:rsidRDefault="00573BD4">
            <w:pPr>
              <w:pStyle w:val="T1"/>
              <w:spacing w:before="40"/>
              <w:ind w:left="645" w:right="-113"/>
            </w:pPr>
            <w:r>
              <w:t>1.7902</w:t>
            </w:r>
          </w:p>
        </w:tc>
        <w:tc>
          <w:tcPr>
            <w:tcW w:w="1503" w:type="dxa"/>
          </w:tcPr>
          <w:p w:rsidR="00573BD4" w:rsidRDefault="00573BD4">
            <w:pPr>
              <w:pStyle w:val="T1"/>
              <w:spacing w:before="40"/>
              <w:ind w:left="-108" w:right="-113"/>
              <w:jc w:val="center"/>
            </w:pPr>
            <w:r>
              <w:t>4/29</w:t>
            </w:r>
          </w:p>
        </w:tc>
        <w:tc>
          <w:tcPr>
            <w:tcW w:w="2133" w:type="dxa"/>
          </w:tcPr>
          <w:p w:rsidR="00573BD4" w:rsidRDefault="00573BD4" w:rsidP="00132810">
            <w:pPr>
              <w:pStyle w:val="T1"/>
              <w:spacing w:before="40"/>
              <w:ind w:left="640" w:right="-85"/>
            </w:pPr>
            <w:r>
              <w:t>1.7512</w:t>
            </w:r>
          </w:p>
        </w:tc>
      </w:tr>
      <w:tr w:rsidR="00573BD4">
        <w:tblPrEx>
          <w:tblCellMar>
            <w:top w:w="0" w:type="dxa"/>
            <w:bottom w:w="0" w:type="dxa"/>
          </w:tblCellMar>
        </w:tblPrEx>
        <w:tc>
          <w:tcPr>
            <w:tcW w:w="1065" w:type="dxa"/>
            <w:tcMar>
              <w:left w:w="0" w:type="dxa"/>
              <w:right w:w="115" w:type="dxa"/>
            </w:tcMar>
          </w:tcPr>
          <w:p w:rsidR="00573BD4" w:rsidRDefault="00573BD4">
            <w:pPr>
              <w:pStyle w:val="T1"/>
              <w:spacing w:before="40" w:after="60"/>
              <w:ind w:left="3" w:right="-115"/>
            </w:pPr>
            <w:r>
              <w:t>4/15</w:t>
            </w:r>
          </w:p>
        </w:tc>
        <w:tc>
          <w:tcPr>
            <w:tcW w:w="2049" w:type="dxa"/>
            <w:tcMar>
              <w:left w:w="0" w:type="dxa"/>
              <w:right w:w="115" w:type="dxa"/>
            </w:tcMar>
          </w:tcPr>
          <w:p w:rsidR="00573BD4" w:rsidRDefault="00573BD4">
            <w:pPr>
              <w:pStyle w:val="T1"/>
              <w:spacing w:before="40" w:after="60"/>
              <w:ind w:left="645" w:right="-115"/>
            </w:pPr>
            <w:r>
              <w:t>1.7785</w:t>
            </w:r>
          </w:p>
        </w:tc>
        <w:tc>
          <w:tcPr>
            <w:tcW w:w="1503" w:type="dxa"/>
          </w:tcPr>
          <w:p w:rsidR="00573BD4" w:rsidRDefault="00573BD4">
            <w:pPr>
              <w:pStyle w:val="T1"/>
              <w:spacing w:before="40" w:after="60"/>
              <w:ind w:right="-115"/>
            </w:pPr>
          </w:p>
        </w:tc>
        <w:tc>
          <w:tcPr>
            <w:tcW w:w="2133" w:type="dxa"/>
          </w:tcPr>
          <w:p w:rsidR="00573BD4" w:rsidRDefault="00573BD4">
            <w:pPr>
              <w:pStyle w:val="T1"/>
              <w:spacing w:before="40" w:after="60"/>
              <w:ind w:left="978" w:right="-85" w:hanging="18"/>
            </w:pPr>
          </w:p>
        </w:tc>
      </w:tr>
    </w:tbl>
    <w:p w:rsidR="00573BD4" w:rsidRDefault="00573BD4">
      <w:pPr>
        <w:pStyle w:val="MCQList1"/>
        <w:ind w:left="446" w:hanging="446"/>
      </w:pPr>
      <w:r>
        <w:tab/>
        <w:t>Which day would have been the best day to convert $200 into British pounds?</w:t>
      </w:r>
    </w:p>
    <w:p w:rsidR="00573BD4" w:rsidRDefault="00573BD4">
      <w:pPr>
        <w:pStyle w:val="MCQList1"/>
        <w:spacing w:before="80"/>
        <w:ind w:left="446" w:hanging="446"/>
      </w:pPr>
      <w:r>
        <w:tab/>
        <w:t>Which day would have been the worst day? What would be the difference in pounds?</w:t>
      </w:r>
    </w:p>
    <w:p w:rsidR="00573BD4" w:rsidRDefault="00573BD4">
      <w:pPr>
        <w:pStyle w:val="MCQAns1"/>
        <w:ind w:left="1411" w:hanging="965"/>
      </w:pPr>
      <w:r>
        <w:rPr>
          <w:b/>
        </w:rPr>
        <w:t>Solution:</w:t>
      </w:r>
      <w:r>
        <w:tab/>
        <w:t>The best day is 4/25. At a rate of $1.6674/pound, you would have £119.95. The worst</w:t>
      </w:r>
      <w:r>
        <w:br/>
        <w:t>day is 4/7. At $1.961/pound, you would have £101.99, or a difference of £17.96.</w:t>
      </w:r>
    </w:p>
    <w:sectPr w:rsidR="00573BD4" w:rsidSect="000C6F47">
      <w:headerReference w:type="even" r:id="rId8"/>
      <w:headerReference w:type="default" r:id="rId9"/>
      <w:footerReference w:type="even" r:id="rId10"/>
      <w:footerReference w:type="default" r:id="rId11"/>
      <w:headerReference w:type="first" r:id="rId12"/>
      <w:footerReference w:type="first" r:id="rId13"/>
      <w:type w:val="evenPage"/>
      <w:pgSz w:w="12240" w:h="15840" w:code="1"/>
      <w:pgMar w:top="1440" w:right="1008"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E91" w:rsidRDefault="00D60E91">
      <w:r>
        <w:separator/>
      </w:r>
    </w:p>
  </w:endnote>
  <w:endnote w:type="continuationSeparator" w:id="0">
    <w:p w:rsidR="00D60E91" w:rsidRDefault="00D6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45" w:rsidRPr="00091362" w:rsidRDefault="00091362" w:rsidP="00091362">
    <w:pPr>
      <w:pStyle w:val="a5"/>
      <w:pBdr>
        <w:top w:val="single" w:sz="4" w:space="1" w:color="auto"/>
      </w:pBdr>
      <w:spacing w:before="360"/>
      <w:jc w:val="center"/>
      <w:rPr>
        <w:sz w:val="18"/>
      </w:rPr>
    </w:pPr>
    <w:r w:rsidRPr="0069506F">
      <w:rPr>
        <w:sz w:val="18"/>
      </w:rPr>
      <w:t>Copyright © 2015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45" w:rsidRPr="00091362" w:rsidRDefault="00091362" w:rsidP="00091362">
    <w:pPr>
      <w:pStyle w:val="a5"/>
      <w:pBdr>
        <w:top w:val="single" w:sz="4" w:space="1" w:color="auto"/>
      </w:pBdr>
      <w:spacing w:before="360"/>
      <w:jc w:val="center"/>
      <w:rPr>
        <w:sz w:val="18"/>
      </w:rPr>
    </w:pPr>
    <w:r w:rsidRPr="0069506F">
      <w:rPr>
        <w:sz w:val="18"/>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BD4" w:rsidRPr="00925FA0" w:rsidRDefault="00925FA0" w:rsidP="00925FA0">
    <w:pPr>
      <w:pStyle w:val="a5"/>
      <w:pBdr>
        <w:top w:val="single" w:sz="4" w:space="1" w:color="auto"/>
      </w:pBdr>
      <w:spacing w:before="360"/>
      <w:jc w:val="center"/>
      <w:rPr>
        <w:sz w:val="18"/>
      </w:rPr>
    </w:pPr>
    <w:r w:rsidRPr="0069506F">
      <w:rPr>
        <w:sz w:val="18"/>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E91" w:rsidRDefault="00D60E91">
      <w:r>
        <w:separator/>
      </w:r>
    </w:p>
  </w:footnote>
  <w:footnote w:type="continuationSeparator" w:id="0">
    <w:p w:rsidR="00D60E91" w:rsidRDefault="00D6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45" w:rsidRPr="008D3C45" w:rsidRDefault="008D3C45" w:rsidP="00BD15EA">
    <w:pPr>
      <w:pStyle w:val="a4"/>
      <w:pBdr>
        <w:bottom w:val="single" w:sz="4" w:space="2" w:color="auto"/>
      </w:pBdr>
      <w:tabs>
        <w:tab w:val="clear" w:pos="4320"/>
        <w:tab w:val="clear" w:pos="8640"/>
        <w:tab w:val="right" w:pos="9432"/>
      </w:tabs>
      <w:rPr>
        <w:sz w:val="18"/>
      </w:rPr>
    </w:pPr>
    <w:r w:rsidRPr="008D3C45">
      <w:rPr>
        <w:rFonts w:ascii="Arial Black" w:hAnsi="Arial Black"/>
        <w:sz w:val="16"/>
      </w:rPr>
      <w:fldChar w:fldCharType="begin"/>
    </w:r>
    <w:r w:rsidRPr="008D3C45">
      <w:rPr>
        <w:rFonts w:ascii="Arial Black" w:hAnsi="Arial Black"/>
        <w:sz w:val="16"/>
      </w:rPr>
      <w:instrText xml:space="preserve"> PAGE  \* MERGEFORMAT </w:instrText>
    </w:r>
    <w:r w:rsidRPr="008D3C45">
      <w:rPr>
        <w:rFonts w:ascii="Arial Black" w:hAnsi="Arial Black"/>
        <w:sz w:val="16"/>
      </w:rPr>
      <w:fldChar w:fldCharType="separate"/>
    </w:r>
    <w:r w:rsidR="00091362">
      <w:rPr>
        <w:rFonts w:ascii="Arial Black" w:hAnsi="Arial Black"/>
        <w:noProof/>
        <w:sz w:val="16"/>
      </w:rPr>
      <w:t>4</w:t>
    </w:r>
    <w:r w:rsidRPr="008D3C45">
      <w:rPr>
        <w:rFonts w:ascii="Arial Black" w:hAnsi="Arial Black"/>
        <w:sz w:val="16"/>
      </w:rPr>
      <w:fldChar w:fldCharType="end"/>
    </w:r>
    <w:r>
      <w:rPr>
        <w:sz w:val="18"/>
      </w:rPr>
      <w:t xml:space="preserve">    Mishkin/Eakins • </w:t>
    </w:r>
    <w:r w:rsidR="004D2B2B" w:rsidRPr="004D2B2B">
      <w:rPr>
        <w:i/>
        <w:sz w:val="18"/>
      </w:rPr>
      <w:t>Financial Markets and Institutions,</w:t>
    </w:r>
    <w:r>
      <w:rPr>
        <w:sz w:val="18"/>
      </w:rPr>
      <w:t xml:space="preserve"> </w:t>
    </w:r>
    <w:r w:rsidR="00037773">
      <w:rPr>
        <w:sz w:val="18"/>
      </w:rPr>
      <w:t>Eighth</w:t>
    </w:r>
    <w:r>
      <w:rPr>
        <w:sz w:val="18"/>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45" w:rsidRPr="008D3C45" w:rsidRDefault="008D3C45" w:rsidP="00BD15EA">
    <w:pPr>
      <w:pStyle w:val="a4"/>
      <w:pBdr>
        <w:bottom w:val="single" w:sz="4" w:space="2" w:color="auto"/>
      </w:pBdr>
      <w:tabs>
        <w:tab w:val="clear" w:pos="4320"/>
        <w:tab w:val="clear" w:pos="8640"/>
        <w:tab w:val="right" w:pos="9432"/>
      </w:tabs>
      <w:jc w:val="right"/>
      <w:rPr>
        <w:sz w:val="18"/>
      </w:rPr>
    </w:pPr>
    <w:r>
      <w:rPr>
        <w:sz w:val="18"/>
      </w:rPr>
      <w:t>Chapter 1: Why Study Financial Markets and Institutions?</w:t>
    </w:r>
    <w:r w:rsidRPr="008D3C45">
      <w:rPr>
        <w:sz w:val="18"/>
      </w:rPr>
      <w:t xml:space="preserve">    </w:t>
    </w:r>
    <w:r w:rsidRPr="008D3C45">
      <w:rPr>
        <w:rFonts w:ascii="Arial Black" w:hAnsi="Arial Black"/>
        <w:sz w:val="16"/>
      </w:rPr>
      <w:fldChar w:fldCharType="begin"/>
    </w:r>
    <w:r w:rsidRPr="008D3C45">
      <w:rPr>
        <w:rFonts w:ascii="Arial Black" w:hAnsi="Arial Black"/>
        <w:sz w:val="16"/>
      </w:rPr>
      <w:instrText xml:space="preserve"> PAGE  \* MERGEFORMAT </w:instrText>
    </w:r>
    <w:r w:rsidRPr="008D3C45">
      <w:rPr>
        <w:rFonts w:ascii="Arial Black" w:hAnsi="Arial Black"/>
        <w:sz w:val="16"/>
      </w:rPr>
      <w:fldChar w:fldCharType="separate"/>
    </w:r>
    <w:r w:rsidR="00BD15EA">
      <w:rPr>
        <w:rFonts w:ascii="Arial Black" w:hAnsi="Arial Black"/>
        <w:noProof/>
        <w:sz w:val="16"/>
      </w:rPr>
      <w:t>3</w:t>
    </w:r>
    <w:r w:rsidRPr="008D3C45">
      <w:rPr>
        <w:rFonts w:ascii="Arial Black" w:hAnsi="Arial Black"/>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5EA" w:rsidRDefault="00BD15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DE7F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EDB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2ED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3A22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2439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D43B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9AC7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F856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581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EE3094"/>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6A55172E"/>
    <w:multiLevelType w:val="multilevel"/>
    <w:tmpl w:val="1136A33C"/>
    <w:lvl w:ilvl="0">
      <w:start w:val="1"/>
      <w:numFmt w:val="none"/>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15:restartNumberingAfterBreak="0">
    <w:nsid w:val="70803C3A"/>
    <w:multiLevelType w:val="multilevel"/>
    <w:tmpl w:val="AFB09CF2"/>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1"/>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14"/>
  <w:displayBackgroundShape/>
  <w:mirrorMargins/>
  <w:attachedTemplate r:id="rId1"/>
  <w:linkStyles/>
  <w:defaultTabStop w:val="720"/>
  <w:evenAndOddHeaders/>
  <w:drawingGridHorizontalSpacing w:val="100"/>
  <w:drawingGridVerticalSpacing w:val="102"/>
  <w:displayHorizontalDrawingGridEvery w:val="0"/>
  <w:displayVerticalDrawingGridEvery w:val="2"/>
  <w:noPunctuationKerning/>
  <w:characterSpacingControl w:val="doNotCompress"/>
  <w:hdrShapeDefaults>
    <o:shapedefaults v:ext="edit" spidmax="3074">
      <o:colormenu v:ext="edit" fillcolor="non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7A"/>
    <w:rsid w:val="00037773"/>
    <w:rsid w:val="00091362"/>
    <w:rsid w:val="000C6F47"/>
    <w:rsid w:val="000E50B5"/>
    <w:rsid w:val="001037B9"/>
    <w:rsid w:val="00132810"/>
    <w:rsid w:val="00251E1C"/>
    <w:rsid w:val="00353CB7"/>
    <w:rsid w:val="00372643"/>
    <w:rsid w:val="004A7D7A"/>
    <w:rsid w:val="004B4082"/>
    <w:rsid w:val="004C52DE"/>
    <w:rsid w:val="004D2B2B"/>
    <w:rsid w:val="00573BD4"/>
    <w:rsid w:val="00642831"/>
    <w:rsid w:val="0068569E"/>
    <w:rsid w:val="006C628A"/>
    <w:rsid w:val="007042E3"/>
    <w:rsid w:val="007978A6"/>
    <w:rsid w:val="007F0F43"/>
    <w:rsid w:val="008D3C45"/>
    <w:rsid w:val="00925FA0"/>
    <w:rsid w:val="00A146DB"/>
    <w:rsid w:val="00A15DD8"/>
    <w:rsid w:val="00BD15EA"/>
    <w:rsid w:val="00CA7840"/>
    <w:rsid w:val="00CE1299"/>
    <w:rsid w:val="00D60E91"/>
    <w:rsid w:val="00DE6967"/>
    <w:rsid w:val="00EF1AC8"/>
    <w:rsid w:val="00F2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15:chartTrackingRefBased/>
  <w15:docId w15:val="{EC452335-9148-4A60-BA29-18115062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04" w:hanging="504"/>
    </w:pPr>
    <w:rPr>
      <w:rFonts w:ascii="Times" w:hAnsi="Times"/>
      <w:b/>
      <w:sz w:val="22"/>
    </w:rPr>
  </w:style>
  <w:style w:type="paragraph" w:customStyle="1" w:styleId="List2">
    <w:name w:val="List2"/>
    <w:basedOn w:val="a0"/>
    <w:pPr>
      <w:keepNext/>
      <w:tabs>
        <w:tab w:val="left" w:pos="907"/>
      </w:tabs>
      <w:spacing w:before="80" w:after="60"/>
      <w:ind w:left="907" w:hanging="403"/>
    </w:pPr>
    <w:rPr>
      <w:rFonts w:ascii="Times" w:hAnsi="Times"/>
      <w:sz w:val="22"/>
    </w:rPr>
  </w:style>
  <w:style w:type="paragraph" w:customStyle="1" w:styleId="List3">
    <w:name w:val="List3"/>
    <w:basedOn w:val="a0"/>
    <w:pPr>
      <w:keepNext/>
      <w:tabs>
        <w:tab w:val="left" w:pos="1195"/>
      </w:tabs>
      <w:spacing w:after="40"/>
      <w:ind w:left="1195" w:hanging="288"/>
    </w:pPr>
    <w:rPr>
      <w:rFonts w:ascii="Times" w:hAnsi="Times"/>
      <w:sz w:val="22"/>
    </w:rPr>
  </w:style>
  <w:style w:type="paragraph" w:customStyle="1" w:styleId="List4">
    <w:name w:val="List4"/>
    <w:basedOn w:val="a0"/>
    <w:pPr>
      <w:keepNext/>
      <w:tabs>
        <w:tab w:val="left" w:pos="1483"/>
      </w:tabs>
      <w:spacing w:after="40"/>
      <w:ind w:left="1483" w:hanging="288"/>
    </w:pPr>
    <w:rPr>
      <w:rFonts w:ascii="Times" w:hAnsi="Times"/>
      <w:sz w:val="22"/>
    </w:rPr>
  </w:style>
  <w:style w:type="paragraph" w:customStyle="1" w:styleId="List5">
    <w:name w:val="List5"/>
    <w:basedOn w:val="a0"/>
    <w:pPr>
      <w:keepNext/>
      <w:tabs>
        <w:tab w:val="left" w:pos="1915"/>
        <w:tab w:val="left" w:pos="1944"/>
      </w:tabs>
      <w:spacing w:after="40"/>
      <w:ind w:left="1944" w:hanging="446"/>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keepNext/>
      <w:tabs>
        <w:tab w:val="left" w:pos="1771"/>
        <w:tab w:val="left" w:pos="2160"/>
      </w:tabs>
      <w:spacing w:before="200" w:after="60"/>
      <w:ind w:left="2160" w:hanging="2160"/>
    </w:pPr>
    <w:rPr>
      <w:rFonts w:ascii="Times" w:hAnsi="Times"/>
      <w:sz w:val="22"/>
    </w:rPr>
  </w:style>
  <w:style w:type="paragraph" w:customStyle="1" w:styleId="MCA">
    <w:name w:val="MCA"/>
    <w:basedOn w:val="a0"/>
    <w:pPr>
      <w:numPr>
        <w:ilvl w:val="1"/>
        <w:numId w:val="1"/>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H3">
    <w:name w:val="H3"/>
    <w:basedOn w:val="T1"/>
    <w:pPr>
      <w:spacing w:before="200" w:after="120"/>
    </w:pPr>
    <w:rPr>
      <w:b/>
      <w:bCs/>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basedOn w:val="a0"/>
    <w:semiHidden/>
    <w:pPr>
      <w:tabs>
        <w:tab w:val="center" w:pos="4320"/>
        <w:tab w:val="right" w:pos="8640"/>
      </w:tabs>
    </w:pPr>
  </w:style>
  <w:style w:type="paragraph" w:styleId="a5">
    <w:name w:val="footer"/>
    <w:basedOn w:val="a0"/>
    <w:link w:val="a6"/>
    <w:semiHidden/>
    <w:pPr>
      <w:tabs>
        <w:tab w:val="center" w:pos="4320"/>
        <w:tab w:val="right" w:pos="8640"/>
      </w:tabs>
    </w:pPr>
  </w:style>
  <w:style w:type="character" w:styleId="a7">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0"/>
    <w:pPr>
      <w:keepLines/>
      <w:tabs>
        <w:tab w:val="left" w:pos="720"/>
        <w:tab w:val="num" w:pos="907"/>
      </w:tabs>
      <w:spacing w:after="40"/>
      <w:ind w:left="907" w:hanging="360"/>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MCQList1">
    <w:name w:val="MCQ_List1"/>
    <w:basedOn w:val="a0"/>
    <w:pPr>
      <w:keepNext/>
      <w:keepLines/>
      <w:spacing w:before="200" w:after="60"/>
      <w:ind w:left="450" w:hanging="450"/>
      <w:outlineLvl w:val="2"/>
    </w:pPr>
    <w:rPr>
      <w:rFonts w:ascii="Times" w:hAnsi="Times"/>
      <w:snapToGrid w:val="0"/>
      <w:sz w:val="22"/>
    </w:rPr>
  </w:style>
  <w:style w:type="paragraph" w:customStyle="1" w:styleId="MCQList2">
    <w:name w:val="MCQ_List2"/>
    <w:basedOn w:val="a0"/>
    <w:pPr>
      <w:keepNext/>
      <w:keepLines/>
      <w:spacing w:after="40"/>
      <w:ind w:left="825" w:hanging="375"/>
      <w:outlineLvl w:val="2"/>
    </w:pPr>
    <w:rPr>
      <w:rFonts w:ascii="Times" w:hAnsi="Times"/>
      <w:snapToGrid w:val="0"/>
      <w:sz w:val="22"/>
    </w:rPr>
  </w:style>
  <w:style w:type="paragraph" w:styleId="a8">
    <w:name w:val="Normal (Web)"/>
    <w:basedOn w:val="a0"/>
    <w:semiHidden/>
    <w:pPr>
      <w:spacing w:after="15"/>
    </w:pPr>
    <w:rPr>
      <w:sz w:val="24"/>
      <w:szCs w:val="24"/>
    </w:rPr>
  </w:style>
  <w:style w:type="paragraph" w:customStyle="1" w:styleId="List6">
    <w:name w:val="List6"/>
    <w:basedOn w:val="List4"/>
    <w:pPr>
      <w:tabs>
        <w:tab w:val="clear" w:pos="1483"/>
        <w:tab w:val="left" w:pos="2250"/>
      </w:tabs>
      <w:spacing w:after="0"/>
      <w:ind w:hanging="825"/>
    </w:pPr>
  </w:style>
  <w:style w:type="paragraph" w:customStyle="1" w:styleId="equation">
    <w:name w:val="equation"/>
    <w:basedOn w:val="a8"/>
    <w:pPr>
      <w:keepNext/>
      <w:tabs>
        <w:tab w:val="left" w:pos="3600"/>
        <w:tab w:val="left" w:pos="9000"/>
      </w:tabs>
      <w:spacing w:before="120" w:after="120"/>
      <w:jc w:val="center"/>
    </w:pPr>
    <w:rPr>
      <w:rFonts w:ascii="Times" w:hAnsi="Times"/>
      <w:sz w:val="22"/>
      <w:szCs w:val="22"/>
    </w:rPr>
  </w:style>
  <w:style w:type="paragraph" w:customStyle="1" w:styleId="NL3">
    <w:name w:val="NL3"/>
    <w:basedOn w:val="a8"/>
    <w:pPr>
      <w:keepNext/>
      <w:spacing w:before="200" w:after="40"/>
      <w:ind w:left="1200" w:hanging="375"/>
    </w:pPr>
    <w:rPr>
      <w:sz w:val="22"/>
      <w:szCs w:val="22"/>
    </w:rPr>
  </w:style>
  <w:style w:type="paragraph" w:styleId="a">
    <w:name w:val="List Bullet"/>
    <w:basedOn w:val="a0"/>
    <w:autoRedefine/>
    <w:semiHidden/>
    <w:pPr>
      <w:numPr>
        <w:numId w:val="2"/>
      </w:numPr>
    </w:pPr>
  </w:style>
  <w:style w:type="paragraph" w:customStyle="1" w:styleId="TF">
    <w:name w:val="TF"/>
    <w:basedOn w:val="a0"/>
    <w:pPr>
      <w:keepNext/>
      <w:keepLines/>
      <w:tabs>
        <w:tab w:val="left" w:pos="1901"/>
      </w:tabs>
      <w:spacing w:after="60"/>
      <w:ind w:left="1901" w:hanging="1901"/>
      <w:outlineLvl w:val="2"/>
    </w:pPr>
    <w:rPr>
      <w:rFonts w:ascii="Times" w:hAnsi="Times"/>
      <w:snapToGrid w:val="0"/>
      <w:sz w:val="22"/>
    </w:rPr>
  </w:style>
  <w:style w:type="paragraph" w:customStyle="1" w:styleId="SubList5">
    <w:name w:val="SubList5"/>
    <w:basedOn w:val="List5"/>
    <w:pPr>
      <w:tabs>
        <w:tab w:val="clear" w:pos="1915"/>
        <w:tab w:val="left" w:pos="2160"/>
      </w:tabs>
      <w:ind w:left="2390"/>
    </w:pPr>
  </w:style>
  <w:style w:type="character" w:styleId="a9">
    <w:name w:val="Hyperlink"/>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446"/>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a0"/>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a0"/>
    <w:pPr>
      <w:keepNext/>
      <w:keepLines/>
      <w:spacing w:before="120"/>
      <w:ind w:left="1413" w:hanging="963"/>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customStyle="1" w:styleId="MCQList1a">
    <w:name w:val="MCQ_List1a"/>
    <w:basedOn w:val="MCQList1"/>
    <w:pPr>
      <w:spacing w:after="40"/>
      <w:ind w:left="374" w:hanging="374"/>
    </w:pPr>
  </w:style>
  <w:style w:type="paragraph" w:customStyle="1" w:styleId="awTB02question">
    <w:name w:val="awTB_02_question"/>
    <w:basedOn w:val="a0"/>
    <w:next w:val="a0"/>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3"/>
      </w:numPr>
      <w:tabs>
        <w:tab w:val="left" w:pos="720"/>
      </w:tabs>
      <w:spacing w:after="40"/>
      <w:outlineLvl w:val="2"/>
    </w:pPr>
    <w:rPr>
      <w:rFonts w:ascii="Times" w:hAnsi="Times"/>
      <w:snapToGrid w:val="0"/>
      <w:sz w:val="22"/>
    </w:rPr>
  </w:style>
  <w:style w:type="paragraph" w:styleId="aa">
    <w:name w:val="Body Text Indent"/>
    <w:basedOn w:val="a0"/>
    <w:semiHidden/>
    <w:pPr>
      <w:ind w:left="720"/>
      <w:jc w:val="both"/>
    </w:pPr>
    <w:rPr>
      <w:sz w:val="24"/>
      <w:szCs w:val="24"/>
    </w:rPr>
  </w:style>
  <w:style w:type="paragraph" w:customStyle="1" w:styleId="bl">
    <w:name w:val="bl"/>
    <w:basedOn w:val="MCQList2"/>
  </w:style>
  <w:style w:type="paragraph" w:customStyle="1" w:styleId="MCQList2Sub">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
    <w:name w:val="lb"/>
    <w:basedOn w:val="MCQList1"/>
    <w:pPr>
      <w:spacing w:before="0"/>
      <w:ind w:left="297" w:hanging="297"/>
    </w:pPr>
  </w:style>
  <w:style w:type="paragraph" w:customStyle="1" w:styleId="h1">
    <w:name w:val="h1"/>
    <w:basedOn w:val="H2"/>
    <w:pPr>
      <w:spacing w:before="0"/>
    </w:pPr>
  </w:style>
  <w:style w:type="paragraph" w:styleId="TOC9">
    <w:name w:val="toc 9"/>
    <w:basedOn w:val="a0"/>
    <w:next w:val="a0"/>
    <w:autoRedefine/>
    <w:semiHidden/>
    <w:pPr>
      <w:widowControl w:val="0"/>
      <w:tabs>
        <w:tab w:val="right" w:leader="dot" w:pos="9360"/>
      </w:tabs>
      <w:suppressAutoHyphens/>
      <w:ind w:left="720" w:hanging="720"/>
    </w:pPr>
    <w:rPr>
      <w:snapToGrid w:val="0"/>
      <w:sz w:val="24"/>
    </w:rPr>
  </w:style>
  <w:style w:type="paragraph" w:customStyle="1" w:styleId="mechn">
    <w:name w:val="mechn"/>
    <w:basedOn w:val="a0"/>
    <w:pPr>
      <w:keepNext/>
      <w:pageBreakBefore/>
      <w:suppressAutoHyphens/>
      <w:jc w:val="both"/>
    </w:pPr>
    <w:rPr>
      <w:b/>
      <w:snapToGrid w:val="0"/>
      <w:spacing w:val="-3"/>
      <w:sz w:val="28"/>
    </w:rPr>
  </w:style>
  <w:style w:type="paragraph" w:customStyle="1" w:styleId="mecht">
    <w:name w:val="mecht"/>
    <w:basedOn w:val="2"/>
    <w:pPr>
      <w:suppressAutoHyphens/>
      <w:spacing w:after="360"/>
    </w:pPr>
    <w:rPr>
      <w:snapToGrid w:val="0"/>
      <w:spacing w:val="-3"/>
      <w:sz w:val="28"/>
      <w:u w:val="none"/>
    </w:rPr>
  </w:style>
  <w:style w:type="paragraph" w:customStyle="1" w:styleId="meh1">
    <w:name w:val="meh1"/>
    <w:basedOn w:val="a0"/>
    <w:pPr>
      <w:keepNext/>
      <w:keepLines/>
      <w:suppressAutoHyphens/>
      <w:spacing w:before="400" w:after="200"/>
    </w:pPr>
    <w:rPr>
      <w:b/>
      <w:snapToGrid w:val="0"/>
      <w:sz w:val="24"/>
    </w:rPr>
  </w:style>
  <w:style w:type="paragraph" w:customStyle="1" w:styleId="mechdetail">
    <w:name w:val="mechdetail"/>
    <w:basedOn w:val="a0"/>
    <w:pPr>
      <w:widowControl w:val="0"/>
      <w:tabs>
        <w:tab w:val="left" w:pos="1440"/>
      </w:tabs>
      <w:spacing w:after="40"/>
      <w:ind w:left="720"/>
    </w:pPr>
    <w:rPr>
      <w:snapToGrid w:val="0"/>
      <w:sz w:val="24"/>
    </w:rPr>
  </w:style>
  <w:style w:type="paragraph" w:customStyle="1" w:styleId="mebody">
    <w:name w:val="mebody"/>
    <w:basedOn w:val="a0"/>
    <w:pPr>
      <w:suppressAutoHyphens/>
      <w:spacing w:after="200"/>
    </w:pPr>
    <w:rPr>
      <w:snapToGrid w:val="0"/>
      <w:sz w:val="24"/>
    </w:rPr>
  </w:style>
  <w:style w:type="paragraph" w:customStyle="1" w:styleId="Sol">
    <w:name w:val="Sol"/>
    <w:basedOn w:val="MCQList1"/>
  </w:style>
  <w:style w:type="paragraph" w:customStyle="1" w:styleId="SolInd">
    <w:name w:val="Sol_Ind"/>
    <w:basedOn w:val="MCQList1"/>
    <w:pPr>
      <w:spacing w:before="100" w:after="0"/>
      <w:ind w:left="835" w:firstLine="0"/>
    </w:pPr>
  </w:style>
  <w:style w:type="paragraph" w:customStyle="1" w:styleId="T1List">
    <w:name w:val="T1_List"/>
    <w:basedOn w:val="T1"/>
    <w:pPr>
      <w:spacing w:after="40"/>
    </w:pPr>
  </w:style>
  <w:style w:type="paragraph" w:customStyle="1" w:styleId="menlist">
    <w:name w:val="menlist"/>
    <w:basedOn w:val="mebody"/>
    <w:pPr>
      <w:ind w:left="720" w:hanging="720"/>
    </w:pPr>
  </w:style>
  <w:style w:type="paragraph" w:customStyle="1" w:styleId="T2">
    <w:name w:val="T2"/>
    <w:basedOn w:val="T1"/>
    <w:pPr>
      <w:spacing w:before="200"/>
    </w:pPr>
  </w:style>
  <w:style w:type="character" w:customStyle="1" w:styleId="a6">
    <w:name w:val="页脚 字符"/>
    <w:basedOn w:val="a1"/>
    <w:link w:val="a5"/>
    <w:semiHidden/>
    <w:rsid w:val="0092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262">
      <w:bodyDiv w:val="1"/>
      <w:marLeft w:val="0"/>
      <w:marRight w:val="0"/>
      <w:marTop w:val="0"/>
      <w:marBottom w:val="0"/>
      <w:divBdr>
        <w:top w:val="none" w:sz="0" w:space="0" w:color="auto"/>
        <w:left w:val="none" w:sz="0" w:space="0" w:color="auto"/>
        <w:bottom w:val="none" w:sz="0" w:space="0" w:color="auto"/>
        <w:right w:val="none" w:sz="0" w:space="0" w:color="auto"/>
      </w:divBdr>
    </w:div>
    <w:div w:id="7857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8D626-0800-437B-BB12-089361DB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59</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M01_MISH_Eakins_7E_IM_C01.doc</vt:lpstr>
    </vt:vector>
  </TitlesOfParts>
  <Company>GLYPH</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M01_MISH_Eakins_7E_IM_C01.doc</dc:title>
  <dc:subject/>
  <dc:creator>AW</dc:creator>
  <cp:keywords/>
  <cp:lastModifiedBy>Compositor</cp:lastModifiedBy>
  <cp:revision>19</cp:revision>
  <cp:lastPrinted>2007-12-20T22:00:00Z</cp:lastPrinted>
  <dcterms:created xsi:type="dcterms:W3CDTF">2019-06-10T08:48:00Z</dcterms:created>
  <dcterms:modified xsi:type="dcterms:W3CDTF">2019-06-10T08:48:00Z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